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5F" w:rsidRPr="00C76316" w:rsidRDefault="00663DEB" w:rsidP="00663DEB">
      <w:pPr>
        <w:rPr>
          <w:rFonts w:ascii="楷体" w:eastAsia="楷体" w:hAnsi="楷体" w:cs="仿宋"/>
          <w:sz w:val="30"/>
          <w:szCs w:val="30"/>
        </w:rPr>
      </w:pPr>
      <w:r w:rsidRPr="00C76316">
        <w:rPr>
          <w:rFonts w:ascii="楷体" w:eastAsia="楷体" w:hAnsi="楷体" w:cs="仿宋" w:hint="eastAsia"/>
          <w:sz w:val="30"/>
          <w:szCs w:val="30"/>
        </w:rPr>
        <w:t>附件</w:t>
      </w:r>
      <w:bookmarkStart w:id="0" w:name="_GoBack"/>
      <w:bookmarkEnd w:id="0"/>
    </w:p>
    <w:p w:rsidR="00663DEB" w:rsidRPr="00C76316" w:rsidRDefault="00663DEB" w:rsidP="00CD635F">
      <w:pPr>
        <w:jc w:val="center"/>
        <w:rPr>
          <w:rFonts w:ascii="黑体" w:eastAsia="黑体" w:hAnsi="黑体" w:cs="仿宋"/>
          <w:sz w:val="32"/>
          <w:szCs w:val="32"/>
        </w:rPr>
      </w:pPr>
      <w:bookmarkStart w:id="1" w:name="_Hlk135319119"/>
      <w:r w:rsidRPr="00C76316">
        <w:rPr>
          <w:rFonts w:ascii="黑体" w:eastAsia="黑体" w:hAnsi="黑体" w:cs="仿宋" w:hint="eastAsia"/>
          <w:sz w:val="32"/>
          <w:szCs w:val="32"/>
        </w:rPr>
        <w:t>兰州大学重大事故隐患专项排查整治2023行动工作</w:t>
      </w:r>
      <w:r w:rsidR="0011717D">
        <w:rPr>
          <w:rFonts w:ascii="黑体" w:eastAsia="黑体" w:hAnsi="黑体" w:cs="仿宋" w:hint="eastAsia"/>
          <w:sz w:val="32"/>
          <w:szCs w:val="32"/>
        </w:rPr>
        <w:t>任务</w:t>
      </w:r>
      <w:r w:rsidRPr="00C76316">
        <w:rPr>
          <w:rFonts w:ascii="黑体" w:eastAsia="黑体" w:hAnsi="黑体" w:cs="仿宋" w:hint="eastAsia"/>
          <w:sz w:val="32"/>
          <w:szCs w:val="32"/>
        </w:rPr>
        <w:t>清单</w:t>
      </w:r>
    </w:p>
    <w:tbl>
      <w:tblPr>
        <w:tblStyle w:val="a6"/>
        <w:tblW w:w="13948" w:type="dxa"/>
        <w:jc w:val="center"/>
        <w:tblLook w:val="04A0" w:firstRow="1" w:lastRow="0" w:firstColumn="1" w:lastColumn="0" w:noHBand="0" w:noVBand="1"/>
      </w:tblPr>
      <w:tblGrid>
        <w:gridCol w:w="1554"/>
        <w:gridCol w:w="1421"/>
        <w:gridCol w:w="9636"/>
        <w:gridCol w:w="1337"/>
      </w:tblGrid>
      <w:tr w:rsidR="00C76316" w:rsidRPr="00C76316" w:rsidTr="00CD635F">
        <w:trPr>
          <w:trHeight w:val="499"/>
          <w:jc w:val="center"/>
        </w:trPr>
        <w:tc>
          <w:tcPr>
            <w:tcW w:w="1554" w:type="dxa"/>
            <w:vAlign w:val="center"/>
          </w:tcPr>
          <w:bookmarkEnd w:id="1"/>
          <w:p w:rsidR="00663DEB" w:rsidRPr="00C76316" w:rsidRDefault="0011717D" w:rsidP="00092833">
            <w:pPr>
              <w:jc w:val="center"/>
              <w:rPr>
                <w:rFonts w:asciiTheme="minorEastAsia" w:hAnsiTheme="minorEastAsia" w:cs="仿宋"/>
                <w:b/>
                <w:szCs w:val="21"/>
              </w:rPr>
            </w:pPr>
            <w:r>
              <w:rPr>
                <w:rFonts w:asciiTheme="minorEastAsia" w:hAnsiTheme="minorEastAsia" w:cs="仿宋" w:hint="eastAsia"/>
                <w:b/>
                <w:szCs w:val="21"/>
              </w:rPr>
              <w:t>序号</w:t>
            </w:r>
          </w:p>
        </w:tc>
        <w:tc>
          <w:tcPr>
            <w:tcW w:w="1421" w:type="dxa"/>
            <w:vAlign w:val="center"/>
          </w:tcPr>
          <w:p w:rsidR="00663DEB" w:rsidRPr="00C76316" w:rsidRDefault="00663DEB" w:rsidP="00092833">
            <w:pPr>
              <w:jc w:val="center"/>
              <w:rPr>
                <w:rFonts w:asciiTheme="minorEastAsia" w:hAnsiTheme="minorEastAsia" w:cs="仿宋"/>
                <w:b/>
                <w:szCs w:val="21"/>
              </w:rPr>
            </w:pPr>
            <w:r w:rsidRPr="00C76316">
              <w:rPr>
                <w:rFonts w:asciiTheme="minorEastAsia" w:hAnsiTheme="minorEastAsia" w:cs="仿宋" w:hint="eastAsia"/>
                <w:b/>
                <w:szCs w:val="21"/>
              </w:rPr>
              <w:t>内容概要</w:t>
            </w:r>
          </w:p>
        </w:tc>
        <w:tc>
          <w:tcPr>
            <w:tcW w:w="9636" w:type="dxa"/>
            <w:vAlign w:val="center"/>
          </w:tcPr>
          <w:p w:rsidR="00663DEB" w:rsidRPr="00C76316" w:rsidRDefault="0011717D" w:rsidP="00092833">
            <w:pPr>
              <w:jc w:val="center"/>
              <w:rPr>
                <w:rFonts w:asciiTheme="minorEastAsia" w:hAnsiTheme="minorEastAsia" w:cs="仿宋"/>
                <w:b/>
                <w:szCs w:val="21"/>
              </w:rPr>
            </w:pPr>
            <w:r w:rsidRPr="0011717D">
              <w:rPr>
                <w:rFonts w:asciiTheme="minorEastAsia" w:hAnsiTheme="minorEastAsia" w:cs="仿宋" w:hint="eastAsia"/>
                <w:b/>
                <w:szCs w:val="21"/>
              </w:rPr>
              <w:t>隐患专项排查整治2023行动工作任务清单</w:t>
            </w:r>
          </w:p>
        </w:tc>
        <w:tc>
          <w:tcPr>
            <w:tcW w:w="1337" w:type="dxa"/>
            <w:vAlign w:val="center"/>
          </w:tcPr>
          <w:p w:rsidR="00663DEB" w:rsidRPr="00C76316" w:rsidRDefault="00663DEB" w:rsidP="00092833">
            <w:pPr>
              <w:jc w:val="center"/>
              <w:rPr>
                <w:rFonts w:asciiTheme="minorEastAsia" w:hAnsiTheme="minorEastAsia" w:cs="仿宋"/>
                <w:b/>
                <w:szCs w:val="21"/>
              </w:rPr>
            </w:pPr>
            <w:r w:rsidRPr="00C76316">
              <w:rPr>
                <w:rFonts w:asciiTheme="minorEastAsia" w:hAnsiTheme="minorEastAsia" w:cs="仿宋" w:hint="eastAsia"/>
                <w:b/>
                <w:szCs w:val="21"/>
              </w:rPr>
              <w:t>负责单位</w:t>
            </w:r>
          </w:p>
        </w:tc>
      </w:tr>
      <w:tr w:rsidR="00C76316" w:rsidRPr="00C76316" w:rsidTr="00CD635F">
        <w:trPr>
          <w:jc w:val="center"/>
        </w:trPr>
        <w:tc>
          <w:tcPr>
            <w:tcW w:w="1554" w:type="dxa"/>
            <w:vMerge w:val="restart"/>
            <w:vAlign w:val="center"/>
          </w:tcPr>
          <w:p w:rsidR="00B16346" w:rsidRPr="00C76316" w:rsidRDefault="0011717D" w:rsidP="00092833">
            <w:pPr>
              <w:jc w:val="center"/>
              <w:rPr>
                <w:rFonts w:asciiTheme="minorEastAsia" w:hAnsiTheme="minorEastAsia"/>
                <w:b/>
                <w:szCs w:val="21"/>
                <w:lang w:bidi="ar"/>
              </w:rPr>
            </w:pPr>
            <w:r>
              <w:rPr>
                <w:rFonts w:asciiTheme="minorEastAsia" w:hAnsiTheme="minorEastAsia" w:hint="eastAsia"/>
                <w:b/>
                <w:szCs w:val="21"/>
                <w:lang w:bidi="ar"/>
              </w:rPr>
              <w:t>1</w:t>
            </w:r>
          </w:p>
        </w:tc>
        <w:tc>
          <w:tcPr>
            <w:tcW w:w="1421" w:type="dxa"/>
            <w:vMerge w:val="restart"/>
            <w:vAlign w:val="center"/>
          </w:tcPr>
          <w:p w:rsidR="00B16346" w:rsidRPr="00C76316" w:rsidRDefault="00B16346" w:rsidP="00092833">
            <w:pPr>
              <w:jc w:val="center"/>
              <w:rPr>
                <w:rFonts w:asciiTheme="minorEastAsia" w:hAnsiTheme="minorEastAsia"/>
                <w:szCs w:val="21"/>
                <w:lang w:bidi="ar"/>
              </w:rPr>
            </w:pPr>
            <w:r w:rsidRPr="00C76316">
              <w:rPr>
                <w:rFonts w:asciiTheme="minorEastAsia" w:hAnsiTheme="minorEastAsia" w:cs="Arial"/>
                <w:szCs w:val="21"/>
              </w:rPr>
              <w:t>抓紧抓实学校重大事故隐患排查整治</w:t>
            </w:r>
          </w:p>
        </w:tc>
        <w:tc>
          <w:tcPr>
            <w:tcW w:w="9636" w:type="dxa"/>
            <w:vAlign w:val="center"/>
          </w:tcPr>
          <w:p w:rsidR="00B16346" w:rsidRPr="00C76316" w:rsidRDefault="00B16346" w:rsidP="00092833">
            <w:pPr>
              <w:rPr>
                <w:rFonts w:asciiTheme="minorEastAsia" w:hAnsiTheme="minorEastAsia" w:cs="仿宋"/>
                <w:szCs w:val="21"/>
              </w:rPr>
            </w:pPr>
            <w:r w:rsidRPr="00C76316">
              <w:rPr>
                <w:rFonts w:asciiTheme="minorEastAsia" w:hAnsiTheme="minorEastAsia" w:hint="eastAsia"/>
                <w:szCs w:val="21"/>
                <w:lang w:bidi="ar"/>
              </w:rPr>
              <w:t>学校教学楼、学生宿舍、图书馆、办公楼等人员密集场所的安全出口与楼梯通道的设置不符合消防规定，未按规定设置消防设施、消防车道或消防车道被堵塞、占用，逃生通道不符合要求或被占用、堵塞而无法正常使用,以及其它违反消防规定，可能造成重大火灾事故后果的隐患。</w:t>
            </w:r>
          </w:p>
        </w:tc>
        <w:tc>
          <w:tcPr>
            <w:tcW w:w="1337" w:type="dxa"/>
            <w:vMerge w:val="restart"/>
            <w:vAlign w:val="center"/>
          </w:tcPr>
          <w:p w:rsidR="00B16346" w:rsidRPr="00C76316" w:rsidRDefault="00B16346" w:rsidP="00092833">
            <w:pPr>
              <w:rPr>
                <w:rFonts w:asciiTheme="minorEastAsia" w:hAnsiTheme="minorEastAsia" w:cs="仿宋"/>
                <w:szCs w:val="21"/>
              </w:rPr>
            </w:pPr>
            <w:r w:rsidRPr="00C76316">
              <w:rPr>
                <w:rFonts w:asciiTheme="minorEastAsia" w:hAnsiTheme="minorEastAsia" w:hint="eastAsia"/>
                <w:szCs w:val="21"/>
                <w:lang w:bidi="ar"/>
              </w:rPr>
              <w:t>保卫处</w:t>
            </w:r>
          </w:p>
        </w:tc>
      </w:tr>
      <w:tr w:rsidR="00C76316" w:rsidRPr="00C76316" w:rsidTr="00CD635F">
        <w:trPr>
          <w:jc w:val="center"/>
        </w:trPr>
        <w:tc>
          <w:tcPr>
            <w:tcW w:w="1554" w:type="dxa"/>
            <w:vMerge/>
            <w:vAlign w:val="center"/>
          </w:tcPr>
          <w:p w:rsidR="00B16346" w:rsidRPr="00C76316" w:rsidRDefault="00B16346" w:rsidP="00092833">
            <w:pPr>
              <w:jc w:val="center"/>
              <w:rPr>
                <w:rFonts w:asciiTheme="minorEastAsia" w:hAnsiTheme="minorEastAsia"/>
                <w:szCs w:val="21"/>
                <w:lang w:bidi="ar"/>
              </w:rPr>
            </w:pPr>
          </w:p>
        </w:tc>
        <w:tc>
          <w:tcPr>
            <w:tcW w:w="1421" w:type="dxa"/>
            <w:vMerge/>
            <w:vAlign w:val="center"/>
          </w:tcPr>
          <w:p w:rsidR="00B16346" w:rsidRPr="00C76316" w:rsidRDefault="00B16346" w:rsidP="00092833">
            <w:pPr>
              <w:jc w:val="center"/>
              <w:rPr>
                <w:rFonts w:asciiTheme="minorEastAsia" w:hAnsiTheme="minorEastAsia"/>
                <w:szCs w:val="21"/>
                <w:lang w:bidi="ar"/>
              </w:rPr>
            </w:pPr>
          </w:p>
        </w:tc>
        <w:tc>
          <w:tcPr>
            <w:tcW w:w="9636" w:type="dxa"/>
            <w:vAlign w:val="center"/>
          </w:tcPr>
          <w:p w:rsidR="00B16346" w:rsidRPr="00C76316" w:rsidRDefault="00B16346" w:rsidP="00092833">
            <w:pPr>
              <w:rPr>
                <w:rFonts w:asciiTheme="minorEastAsia" w:hAnsiTheme="minorEastAsia"/>
                <w:szCs w:val="21"/>
                <w:lang w:bidi="ar"/>
              </w:rPr>
            </w:pPr>
            <w:r w:rsidRPr="00C76316">
              <w:rPr>
                <w:rFonts w:asciiTheme="minorEastAsia" w:hAnsiTheme="minorEastAsia" w:hint="eastAsia"/>
                <w:szCs w:val="21"/>
                <w:lang w:bidi="ar"/>
              </w:rPr>
              <w:t>校园内设置彩钢板房或其他易燃材质简易房屋，可能引发重大火灾事故的隐患。</w:t>
            </w:r>
          </w:p>
        </w:tc>
        <w:tc>
          <w:tcPr>
            <w:tcW w:w="1337" w:type="dxa"/>
            <w:vMerge/>
            <w:vAlign w:val="center"/>
          </w:tcPr>
          <w:p w:rsidR="00B16346" w:rsidRPr="00C76316" w:rsidRDefault="00B16346" w:rsidP="00092833">
            <w:pPr>
              <w:rPr>
                <w:rFonts w:asciiTheme="minorEastAsia" w:hAnsiTheme="minorEastAsia"/>
                <w:szCs w:val="21"/>
                <w:lang w:bidi="ar"/>
              </w:rPr>
            </w:pPr>
          </w:p>
        </w:tc>
      </w:tr>
      <w:tr w:rsidR="00C76316" w:rsidRPr="00C76316" w:rsidTr="00CD635F">
        <w:trPr>
          <w:jc w:val="center"/>
        </w:trPr>
        <w:tc>
          <w:tcPr>
            <w:tcW w:w="1554" w:type="dxa"/>
            <w:vMerge/>
            <w:vAlign w:val="center"/>
          </w:tcPr>
          <w:p w:rsidR="00B16346" w:rsidRPr="00C76316" w:rsidRDefault="00B16346" w:rsidP="00092833">
            <w:pPr>
              <w:jc w:val="center"/>
              <w:rPr>
                <w:rFonts w:asciiTheme="minorEastAsia" w:hAnsiTheme="minorEastAsia"/>
                <w:szCs w:val="21"/>
                <w:lang w:bidi="ar"/>
              </w:rPr>
            </w:pPr>
          </w:p>
        </w:tc>
        <w:tc>
          <w:tcPr>
            <w:tcW w:w="1421" w:type="dxa"/>
            <w:vMerge/>
            <w:vAlign w:val="center"/>
          </w:tcPr>
          <w:p w:rsidR="00B16346" w:rsidRPr="00C76316" w:rsidRDefault="00B16346" w:rsidP="00092833">
            <w:pPr>
              <w:jc w:val="center"/>
              <w:rPr>
                <w:rFonts w:asciiTheme="minorEastAsia" w:hAnsiTheme="minorEastAsia"/>
                <w:szCs w:val="21"/>
                <w:lang w:bidi="ar"/>
              </w:rPr>
            </w:pPr>
          </w:p>
        </w:tc>
        <w:tc>
          <w:tcPr>
            <w:tcW w:w="9636" w:type="dxa"/>
            <w:vAlign w:val="center"/>
          </w:tcPr>
          <w:p w:rsidR="00B16346" w:rsidRPr="00C76316" w:rsidRDefault="00B16346" w:rsidP="00092833">
            <w:pPr>
              <w:rPr>
                <w:rFonts w:asciiTheme="minorEastAsia" w:hAnsiTheme="minorEastAsia"/>
                <w:szCs w:val="21"/>
                <w:lang w:bidi="ar"/>
              </w:rPr>
            </w:pPr>
            <w:r w:rsidRPr="00C76316">
              <w:rPr>
                <w:rFonts w:asciiTheme="minorEastAsia" w:hAnsiTheme="minorEastAsia" w:hint="eastAsia"/>
                <w:szCs w:val="21"/>
                <w:lang w:bidi="ar"/>
              </w:rPr>
              <w:t>使用非法生产、检验不合格或已过报废期限的特种设备等，可能导致重大安全事故的隐患。</w:t>
            </w:r>
          </w:p>
        </w:tc>
        <w:tc>
          <w:tcPr>
            <w:tcW w:w="1337" w:type="dxa"/>
            <w:vMerge/>
            <w:vAlign w:val="center"/>
          </w:tcPr>
          <w:p w:rsidR="00B16346" w:rsidRPr="00C76316" w:rsidRDefault="00B16346" w:rsidP="00092833">
            <w:pPr>
              <w:rPr>
                <w:rFonts w:asciiTheme="minorEastAsia" w:hAnsiTheme="minorEastAsia"/>
                <w:szCs w:val="21"/>
                <w:lang w:bidi="ar"/>
              </w:rPr>
            </w:pPr>
          </w:p>
        </w:tc>
      </w:tr>
      <w:tr w:rsidR="00C76316" w:rsidRPr="00C76316" w:rsidTr="00CD635F">
        <w:trPr>
          <w:jc w:val="center"/>
        </w:trPr>
        <w:tc>
          <w:tcPr>
            <w:tcW w:w="1554" w:type="dxa"/>
            <w:vMerge/>
            <w:vAlign w:val="center"/>
          </w:tcPr>
          <w:p w:rsidR="00B16346" w:rsidRPr="00C76316" w:rsidRDefault="00B16346" w:rsidP="00092833">
            <w:pPr>
              <w:jc w:val="center"/>
              <w:rPr>
                <w:rFonts w:asciiTheme="minorEastAsia" w:hAnsiTheme="minorEastAsia"/>
                <w:szCs w:val="21"/>
                <w:lang w:bidi="ar"/>
              </w:rPr>
            </w:pPr>
          </w:p>
        </w:tc>
        <w:tc>
          <w:tcPr>
            <w:tcW w:w="1421" w:type="dxa"/>
            <w:vMerge/>
            <w:vAlign w:val="center"/>
          </w:tcPr>
          <w:p w:rsidR="00B16346" w:rsidRPr="00C76316" w:rsidRDefault="00B16346" w:rsidP="00092833">
            <w:pPr>
              <w:jc w:val="center"/>
              <w:rPr>
                <w:rFonts w:asciiTheme="minorEastAsia" w:hAnsiTheme="minorEastAsia"/>
                <w:szCs w:val="21"/>
                <w:lang w:bidi="ar"/>
              </w:rPr>
            </w:pPr>
          </w:p>
        </w:tc>
        <w:tc>
          <w:tcPr>
            <w:tcW w:w="9636" w:type="dxa"/>
            <w:vAlign w:val="center"/>
          </w:tcPr>
          <w:p w:rsidR="00B16346" w:rsidRPr="00C76316" w:rsidRDefault="00B16346" w:rsidP="00093CA6">
            <w:pPr>
              <w:rPr>
                <w:rFonts w:asciiTheme="minorEastAsia" w:hAnsiTheme="minorEastAsia"/>
                <w:szCs w:val="21"/>
                <w:lang w:bidi="ar"/>
              </w:rPr>
            </w:pPr>
            <w:r w:rsidRPr="00C76316">
              <w:rPr>
                <w:rFonts w:asciiTheme="minorEastAsia" w:hAnsiTheme="minorEastAsia" w:hint="eastAsia"/>
                <w:szCs w:val="21"/>
                <w:lang w:bidi="ar"/>
              </w:rPr>
              <w:t>按照《重大火灾隐患判定方法》GB35181-2017开展重大火灾隐患排查</w:t>
            </w:r>
            <w:r w:rsidR="001236A0" w:rsidRPr="00C76316">
              <w:rPr>
                <w:rFonts w:asciiTheme="minorEastAsia" w:hAnsiTheme="minorEastAsia" w:hint="eastAsia"/>
                <w:szCs w:val="21"/>
                <w:lang w:bidi="ar"/>
              </w:rPr>
              <w:t>。</w:t>
            </w:r>
          </w:p>
        </w:tc>
        <w:tc>
          <w:tcPr>
            <w:tcW w:w="1337" w:type="dxa"/>
            <w:vMerge/>
            <w:vAlign w:val="center"/>
          </w:tcPr>
          <w:p w:rsidR="00B16346" w:rsidRPr="00C76316" w:rsidRDefault="00B16346" w:rsidP="00092833">
            <w:pPr>
              <w:rPr>
                <w:rFonts w:asciiTheme="minorEastAsia" w:hAnsiTheme="minorEastAsia"/>
                <w:szCs w:val="21"/>
                <w:lang w:bidi="ar"/>
              </w:rPr>
            </w:pPr>
          </w:p>
        </w:tc>
      </w:tr>
      <w:tr w:rsidR="00C76316" w:rsidRPr="00C76316" w:rsidTr="00CD635F">
        <w:trPr>
          <w:jc w:val="center"/>
        </w:trPr>
        <w:tc>
          <w:tcPr>
            <w:tcW w:w="1554" w:type="dxa"/>
            <w:vMerge/>
            <w:vAlign w:val="center"/>
          </w:tcPr>
          <w:p w:rsidR="00B16346" w:rsidRPr="00C76316" w:rsidRDefault="00B16346" w:rsidP="00092833">
            <w:pPr>
              <w:jc w:val="center"/>
              <w:rPr>
                <w:rFonts w:asciiTheme="minorEastAsia" w:hAnsiTheme="minorEastAsia"/>
                <w:szCs w:val="21"/>
                <w:lang w:bidi="ar"/>
              </w:rPr>
            </w:pPr>
          </w:p>
        </w:tc>
        <w:tc>
          <w:tcPr>
            <w:tcW w:w="1421" w:type="dxa"/>
            <w:vMerge/>
            <w:vAlign w:val="center"/>
          </w:tcPr>
          <w:p w:rsidR="00B16346" w:rsidRPr="00C76316" w:rsidRDefault="00B16346" w:rsidP="00092833">
            <w:pPr>
              <w:jc w:val="center"/>
              <w:rPr>
                <w:rFonts w:asciiTheme="minorEastAsia" w:hAnsiTheme="minorEastAsia"/>
                <w:szCs w:val="21"/>
                <w:lang w:bidi="ar"/>
              </w:rPr>
            </w:pPr>
          </w:p>
        </w:tc>
        <w:tc>
          <w:tcPr>
            <w:tcW w:w="9636" w:type="dxa"/>
            <w:vAlign w:val="center"/>
          </w:tcPr>
          <w:p w:rsidR="00B16346" w:rsidRPr="00C76316" w:rsidRDefault="00B16346" w:rsidP="00092833">
            <w:pPr>
              <w:rPr>
                <w:rFonts w:asciiTheme="minorEastAsia" w:hAnsiTheme="minorEastAsia" w:cs="仿宋"/>
                <w:szCs w:val="21"/>
              </w:rPr>
            </w:pPr>
            <w:r w:rsidRPr="00C76316">
              <w:rPr>
                <w:rFonts w:asciiTheme="minorEastAsia" w:hAnsiTheme="minorEastAsia" w:hint="eastAsia"/>
                <w:szCs w:val="21"/>
                <w:lang w:bidi="ar"/>
              </w:rPr>
              <w:t>学校师生用房为 D 级危房、D级危房未拆除或师生用房所处地块已经出现较大滑坡等地质灾害，可能导致重大安全事故的隐患。</w:t>
            </w:r>
          </w:p>
        </w:tc>
        <w:tc>
          <w:tcPr>
            <w:tcW w:w="1337" w:type="dxa"/>
            <w:vAlign w:val="center"/>
          </w:tcPr>
          <w:p w:rsidR="00B16346" w:rsidRPr="00C76316" w:rsidRDefault="00B16346" w:rsidP="00092833">
            <w:pPr>
              <w:rPr>
                <w:rFonts w:asciiTheme="minorEastAsia" w:hAnsiTheme="minorEastAsia"/>
                <w:szCs w:val="21"/>
                <w:lang w:bidi="ar"/>
              </w:rPr>
            </w:pPr>
            <w:r w:rsidRPr="00C76316">
              <w:rPr>
                <w:rFonts w:asciiTheme="minorEastAsia" w:hAnsiTheme="minorEastAsia" w:hint="eastAsia"/>
                <w:szCs w:val="21"/>
                <w:lang w:bidi="ar"/>
              </w:rPr>
              <w:t>资产处</w:t>
            </w:r>
          </w:p>
        </w:tc>
      </w:tr>
      <w:tr w:rsidR="00C76316" w:rsidRPr="00C76316" w:rsidTr="00CD635F">
        <w:trPr>
          <w:jc w:val="center"/>
        </w:trPr>
        <w:tc>
          <w:tcPr>
            <w:tcW w:w="1554" w:type="dxa"/>
            <w:vMerge/>
            <w:vAlign w:val="center"/>
          </w:tcPr>
          <w:p w:rsidR="000409B6" w:rsidRPr="00C76316" w:rsidRDefault="000409B6" w:rsidP="00092833">
            <w:pPr>
              <w:jc w:val="center"/>
              <w:rPr>
                <w:rFonts w:asciiTheme="minorEastAsia" w:hAnsiTheme="minorEastAsia"/>
                <w:szCs w:val="21"/>
                <w:lang w:bidi="ar"/>
              </w:rPr>
            </w:pPr>
          </w:p>
        </w:tc>
        <w:tc>
          <w:tcPr>
            <w:tcW w:w="1421" w:type="dxa"/>
            <w:vMerge/>
            <w:vAlign w:val="center"/>
          </w:tcPr>
          <w:p w:rsidR="000409B6" w:rsidRPr="00C76316" w:rsidRDefault="000409B6" w:rsidP="00092833">
            <w:pPr>
              <w:jc w:val="center"/>
              <w:rPr>
                <w:rFonts w:asciiTheme="minorEastAsia" w:hAnsiTheme="minorEastAsia"/>
                <w:szCs w:val="21"/>
                <w:lang w:bidi="ar"/>
              </w:rPr>
            </w:pPr>
          </w:p>
        </w:tc>
        <w:tc>
          <w:tcPr>
            <w:tcW w:w="9636" w:type="dxa"/>
            <w:vAlign w:val="center"/>
          </w:tcPr>
          <w:p w:rsidR="000409B6" w:rsidRPr="00C76316" w:rsidRDefault="000409B6" w:rsidP="00092833">
            <w:pPr>
              <w:rPr>
                <w:rFonts w:asciiTheme="minorEastAsia" w:hAnsiTheme="minorEastAsia"/>
                <w:szCs w:val="21"/>
                <w:lang w:bidi="ar"/>
              </w:rPr>
            </w:pPr>
            <w:r w:rsidRPr="00C76316">
              <w:rPr>
                <w:rFonts w:asciiTheme="minorEastAsia" w:hAnsiTheme="minorEastAsia" w:hint="eastAsia"/>
                <w:szCs w:val="21"/>
                <w:lang w:bidi="ar"/>
              </w:rPr>
              <w:t>存放危险化学品或危险生物用品的储存室、实验室等重要场所未按规定落实双人双锁、集中销毁等安全管理措施，可能导致重大安全事故的隐患。</w:t>
            </w:r>
          </w:p>
        </w:tc>
        <w:tc>
          <w:tcPr>
            <w:tcW w:w="1337" w:type="dxa"/>
            <w:vMerge w:val="restart"/>
            <w:vAlign w:val="center"/>
          </w:tcPr>
          <w:p w:rsidR="000409B6" w:rsidRPr="00C76316" w:rsidRDefault="000409B6" w:rsidP="00092833">
            <w:pPr>
              <w:rPr>
                <w:rFonts w:asciiTheme="minorEastAsia" w:hAnsiTheme="minorEastAsia" w:cs="仿宋"/>
                <w:szCs w:val="21"/>
              </w:rPr>
            </w:pPr>
            <w:r w:rsidRPr="00C76316">
              <w:rPr>
                <w:rFonts w:asciiTheme="minorEastAsia" w:hAnsiTheme="minorEastAsia" w:hint="eastAsia"/>
                <w:szCs w:val="21"/>
                <w:lang w:bidi="ar"/>
              </w:rPr>
              <w:t>实验室与设备管理处</w:t>
            </w:r>
          </w:p>
        </w:tc>
      </w:tr>
      <w:tr w:rsidR="00C76316" w:rsidRPr="00C76316" w:rsidTr="00CD635F">
        <w:trPr>
          <w:jc w:val="center"/>
        </w:trPr>
        <w:tc>
          <w:tcPr>
            <w:tcW w:w="1554" w:type="dxa"/>
            <w:vMerge/>
            <w:vAlign w:val="center"/>
          </w:tcPr>
          <w:p w:rsidR="000409B6" w:rsidRPr="00C76316" w:rsidRDefault="000409B6" w:rsidP="00092833">
            <w:pPr>
              <w:jc w:val="center"/>
              <w:rPr>
                <w:rFonts w:asciiTheme="minorEastAsia" w:hAnsiTheme="minorEastAsia"/>
                <w:szCs w:val="21"/>
                <w:lang w:bidi="ar"/>
              </w:rPr>
            </w:pPr>
          </w:p>
        </w:tc>
        <w:tc>
          <w:tcPr>
            <w:tcW w:w="1421" w:type="dxa"/>
            <w:vMerge/>
            <w:vAlign w:val="center"/>
          </w:tcPr>
          <w:p w:rsidR="000409B6" w:rsidRPr="00C76316" w:rsidRDefault="000409B6" w:rsidP="00092833">
            <w:pPr>
              <w:jc w:val="center"/>
              <w:rPr>
                <w:rFonts w:asciiTheme="minorEastAsia" w:hAnsiTheme="minorEastAsia"/>
                <w:szCs w:val="21"/>
                <w:lang w:bidi="ar"/>
              </w:rPr>
            </w:pPr>
          </w:p>
        </w:tc>
        <w:tc>
          <w:tcPr>
            <w:tcW w:w="9636" w:type="dxa"/>
            <w:vAlign w:val="center"/>
          </w:tcPr>
          <w:p w:rsidR="000409B6" w:rsidRPr="00C76316" w:rsidRDefault="000409B6" w:rsidP="00092833">
            <w:pPr>
              <w:rPr>
                <w:rFonts w:asciiTheme="minorEastAsia" w:hAnsiTheme="minorEastAsia"/>
                <w:szCs w:val="21"/>
                <w:lang w:bidi="ar"/>
              </w:rPr>
            </w:pPr>
            <w:r w:rsidRPr="00C76316">
              <w:rPr>
                <w:rFonts w:asciiTheme="minorEastAsia" w:hAnsiTheme="minorEastAsia" w:hint="eastAsia"/>
                <w:szCs w:val="21"/>
                <w:lang w:bidi="ar"/>
              </w:rPr>
              <w:t>使用非法生产、检验不合格或已过报废期限的特种设备等，可能导致重大安全事故的隐患。</w:t>
            </w:r>
          </w:p>
        </w:tc>
        <w:tc>
          <w:tcPr>
            <w:tcW w:w="1337" w:type="dxa"/>
            <w:vMerge/>
            <w:vAlign w:val="center"/>
          </w:tcPr>
          <w:p w:rsidR="000409B6" w:rsidRPr="00C76316" w:rsidRDefault="000409B6" w:rsidP="00092833">
            <w:pPr>
              <w:rPr>
                <w:rFonts w:asciiTheme="minorEastAsia" w:hAnsiTheme="minorEastAsia"/>
                <w:szCs w:val="21"/>
                <w:lang w:bidi="ar"/>
              </w:rPr>
            </w:pPr>
          </w:p>
        </w:tc>
      </w:tr>
      <w:tr w:rsidR="00C76316" w:rsidRPr="00C76316" w:rsidTr="00CD635F">
        <w:trPr>
          <w:jc w:val="center"/>
        </w:trPr>
        <w:tc>
          <w:tcPr>
            <w:tcW w:w="1554" w:type="dxa"/>
            <w:vMerge/>
            <w:vAlign w:val="center"/>
          </w:tcPr>
          <w:p w:rsidR="000409B6" w:rsidRPr="00C76316" w:rsidRDefault="000409B6" w:rsidP="00093CA6">
            <w:pPr>
              <w:jc w:val="center"/>
              <w:rPr>
                <w:rFonts w:asciiTheme="minorEastAsia" w:hAnsiTheme="minorEastAsia"/>
                <w:szCs w:val="21"/>
                <w:lang w:bidi="ar"/>
              </w:rPr>
            </w:pPr>
          </w:p>
        </w:tc>
        <w:tc>
          <w:tcPr>
            <w:tcW w:w="1421" w:type="dxa"/>
            <w:vMerge/>
            <w:vAlign w:val="center"/>
          </w:tcPr>
          <w:p w:rsidR="000409B6" w:rsidRPr="00C76316" w:rsidRDefault="000409B6" w:rsidP="00093CA6">
            <w:pPr>
              <w:jc w:val="center"/>
              <w:rPr>
                <w:rFonts w:asciiTheme="minorEastAsia" w:hAnsiTheme="minorEastAsia"/>
                <w:szCs w:val="21"/>
                <w:lang w:bidi="ar"/>
              </w:rPr>
            </w:pPr>
          </w:p>
        </w:tc>
        <w:tc>
          <w:tcPr>
            <w:tcW w:w="9636" w:type="dxa"/>
            <w:vAlign w:val="center"/>
          </w:tcPr>
          <w:p w:rsidR="000409B6" w:rsidRPr="00C76316" w:rsidRDefault="000409B6" w:rsidP="00093CA6">
            <w:pPr>
              <w:rPr>
                <w:rFonts w:asciiTheme="minorEastAsia" w:hAnsiTheme="minorEastAsia"/>
                <w:szCs w:val="21"/>
                <w:lang w:bidi="ar"/>
              </w:rPr>
            </w:pPr>
            <w:r w:rsidRPr="00C76316">
              <w:rPr>
                <w:rFonts w:asciiTheme="minorEastAsia" w:hAnsiTheme="minorEastAsia" w:hint="eastAsia"/>
                <w:szCs w:val="21"/>
                <w:lang w:bidi="ar"/>
              </w:rPr>
              <w:t xml:space="preserve">实训场所设施设备未定期进行保养检修，出现设备部件松动、损坏等，可能导致重大安全事故的隐患。 </w:t>
            </w:r>
          </w:p>
        </w:tc>
        <w:tc>
          <w:tcPr>
            <w:tcW w:w="1337" w:type="dxa"/>
            <w:vMerge/>
            <w:vAlign w:val="center"/>
          </w:tcPr>
          <w:p w:rsidR="000409B6" w:rsidRPr="00C76316" w:rsidRDefault="000409B6"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0409B6" w:rsidRPr="00C76316" w:rsidRDefault="000409B6" w:rsidP="00093CA6">
            <w:pPr>
              <w:jc w:val="center"/>
              <w:rPr>
                <w:rFonts w:asciiTheme="minorEastAsia" w:hAnsiTheme="minorEastAsia"/>
                <w:szCs w:val="21"/>
                <w:lang w:bidi="ar"/>
              </w:rPr>
            </w:pPr>
          </w:p>
        </w:tc>
        <w:tc>
          <w:tcPr>
            <w:tcW w:w="1421" w:type="dxa"/>
            <w:vMerge/>
            <w:vAlign w:val="center"/>
          </w:tcPr>
          <w:p w:rsidR="000409B6" w:rsidRPr="00C76316" w:rsidRDefault="000409B6" w:rsidP="00093CA6">
            <w:pPr>
              <w:jc w:val="center"/>
              <w:rPr>
                <w:rFonts w:asciiTheme="minorEastAsia" w:hAnsiTheme="minorEastAsia"/>
                <w:szCs w:val="21"/>
                <w:lang w:bidi="ar"/>
              </w:rPr>
            </w:pPr>
          </w:p>
        </w:tc>
        <w:tc>
          <w:tcPr>
            <w:tcW w:w="9636" w:type="dxa"/>
            <w:vAlign w:val="center"/>
          </w:tcPr>
          <w:p w:rsidR="000409B6" w:rsidRPr="00C76316" w:rsidRDefault="000409B6" w:rsidP="000409B6">
            <w:pPr>
              <w:pStyle w:val="2"/>
              <w:rPr>
                <w:rFonts w:asciiTheme="minorEastAsia" w:eastAsiaTheme="minorEastAsia" w:hAnsiTheme="minorEastAsia"/>
                <w:sz w:val="21"/>
                <w:szCs w:val="21"/>
                <w:lang w:bidi="ar"/>
              </w:rPr>
            </w:pPr>
            <w:r w:rsidRPr="00C76316">
              <w:rPr>
                <w:rFonts w:asciiTheme="minorEastAsia" w:eastAsiaTheme="minorEastAsia" w:hAnsiTheme="minorEastAsia" w:cstheme="minorBidi" w:hint="eastAsia"/>
                <w:b w:val="0"/>
                <w:bCs w:val="0"/>
                <w:kern w:val="2"/>
                <w:sz w:val="21"/>
                <w:szCs w:val="21"/>
                <w:lang w:bidi="ar"/>
              </w:rPr>
              <w:t>参考《</w:t>
            </w:r>
            <w:r w:rsidRPr="00C76316">
              <w:rPr>
                <w:rFonts w:asciiTheme="minorEastAsia" w:eastAsiaTheme="minorEastAsia" w:hAnsiTheme="minorEastAsia" w:cstheme="minorBidi"/>
                <w:b w:val="0"/>
                <w:bCs w:val="0"/>
                <w:kern w:val="2"/>
                <w:sz w:val="21"/>
                <w:szCs w:val="21"/>
                <w:lang w:bidi="ar"/>
              </w:rPr>
              <w:t>化工和危险化学品生产经营单位重大生产安全事故隐患判定标准</w:t>
            </w:r>
            <w:r w:rsidRPr="00C76316">
              <w:rPr>
                <w:rFonts w:asciiTheme="minorEastAsia" w:eastAsiaTheme="minorEastAsia" w:hAnsiTheme="minorEastAsia" w:cstheme="minorBidi" w:hint="eastAsia"/>
                <w:b w:val="0"/>
                <w:bCs w:val="0"/>
                <w:kern w:val="2"/>
                <w:sz w:val="21"/>
                <w:szCs w:val="21"/>
                <w:lang w:bidi="ar"/>
              </w:rPr>
              <w:t>》开展重大事故隐患排查</w:t>
            </w:r>
            <w:r w:rsidR="001236A0" w:rsidRPr="00C76316">
              <w:rPr>
                <w:rFonts w:asciiTheme="minorEastAsia" w:eastAsiaTheme="minorEastAsia" w:hAnsiTheme="minorEastAsia" w:cstheme="minorBidi" w:hint="eastAsia"/>
                <w:b w:val="0"/>
                <w:bCs w:val="0"/>
                <w:kern w:val="2"/>
                <w:sz w:val="21"/>
                <w:szCs w:val="21"/>
                <w:lang w:bidi="ar"/>
              </w:rPr>
              <w:t>。</w:t>
            </w:r>
          </w:p>
        </w:tc>
        <w:tc>
          <w:tcPr>
            <w:tcW w:w="1337" w:type="dxa"/>
            <w:vMerge/>
            <w:vAlign w:val="center"/>
          </w:tcPr>
          <w:p w:rsidR="000409B6" w:rsidRPr="00C76316" w:rsidRDefault="000409B6"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食堂采购使用“三无”、过期等食材或非法、超量使用食品添加剂等，可能导致重大食品安全事故的隐患。</w:t>
            </w:r>
          </w:p>
        </w:tc>
        <w:tc>
          <w:tcPr>
            <w:tcW w:w="1337" w:type="dxa"/>
            <w:vMerge w:val="restart"/>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后勤保障部</w:t>
            </w: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校车驾驶员未取得校车驾驶资质或未配备随车照管员，未配备相应的视频监控和定位系统，运营校车为检验不合格或报废车辆，校车超速超载或不按规定线路行驶，以及其它违反校车管理规定，可能导致重大安全事故的隐患。</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校园内电网线路、水气油暖管道等其它设施设备破损失修，可能导致重大安全事故的隐患。</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本单位负责管理的校园内建筑、道路施工，未对重点区域做安全防护、安全警示，可能导致重大安全事</w:t>
            </w:r>
            <w:r w:rsidRPr="00C76316">
              <w:rPr>
                <w:rFonts w:asciiTheme="minorEastAsia" w:hAnsiTheme="minorEastAsia" w:hint="eastAsia"/>
                <w:szCs w:val="21"/>
                <w:lang w:bidi="ar"/>
              </w:rPr>
              <w:lastRenderedPageBreak/>
              <w:t>故的隐患。</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使用非法生产、检验不合格或已过报废期限的特种设备等，可能导致重大安全事故的隐患。</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AB278B">
            <w:pPr>
              <w:rPr>
                <w:rFonts w:asciiTheme="minorEastAsia" w:hAnsiTheme="minorEastAsia"/>
                <w:szCs w:val="21"/>
                <w:lang w:bidi="ar"/>
              </w:rPr>
            </w:pPr>
            <w:r w:rsidRPr="00C76316">
              <w:rPr>
                <w:rFonts w:asciiTheme="minorEastAsia" w:hAnsiTheme="minorEastAsia" w:hint="eastAsia"/>
                <w:szCs w:val="21"/>
                <w:lang w:bidi="ar"/>
              </w:rPr>
              <w:t>按照住房和城乡建设部印发的《房屋市政工程生产安全重大事故隐患判定标准（2022版）》开展重大事故隐患排查。</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AB278B">
            <w:pPr>
              <w:rPr>
                <w:rFonts w:asciiTheme="minorEastAsia" w:hAnsiTheme="minorEastAsia"/>
                <w:szCs w:val="21"/>
                <w:lang w:bidi="ar"/>
              </w:rPr>
            </w:pPr>
            <w:r w:rsidRPr="00C76316">
              <w:rPr>
                <w:rFonts w:asciiTheme="minorEastAsia" w:hAnsiTheme="minorEastAsia" w:hint="eastAsia"/>
                <w:szCs w:val="21"/>
                <w:lang w:bidi="ar"/>
              </w:rPr>
              <w:t>结合</w:t>
            </w:r>
            <w:r w:rsidR="00823573" w:rsidRPr="00C76316">
              <w:rPr>
                <w:rFonts w:asciiTheme="minorEastAsia" w:hAnsiTheme="minorEastAsia" w:hint="eastAsia"/>
                <w:szCs w:val="21"/>
                <w:lang w:bidi="ar"/>
              </w:rPr>
              <w:t>本单位</w:t>
            </w:r>
            <w:r w:rsidRPr="00C76316">
              <w:rPr>
                <w:rFonts w:asciiTheme="minorEastAsia" w:hAnsiTheme="minorEastAsia" w:hint="eastAsia"/>
                <w:szCs w:val="21"/>
                <w:lang w:bidi="ar"/>
              </w:rPr>
              <w:t>实际工作和相关法律法规规定，</w:t>
            </w:r>
            <w:r w:rsidR="00823573" w:rsidRPr="00C76316">
              <w:rPr>
                <w:rFonts w:asciiTheme="minorEastAsia" w:hAnsiTheme="minorEastAsia" w:hint="eastAsia"/>
                <w:szCs w:val="21"/>
                <w:lang w:bidi="ar"/>
              </w:rPr>
              <w:t>对学校存在的其他</w:t>
            </w:r>
            <w:r w:rsidRPr="00C76316">
              <w:rPr>
                <w:rFonts w:asciiTheme="minorEastAsia" w:hAnsiTheme="minorEastAsia" w:hint="eastAsia"/>
                <w:szCs w:val="21"/>
                <w:lang w:bidi="ar"/>
              </w:rPr>
              <w:t>安全隐患进行排查。</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vAlign w:val="center"/>
          </w:tcPr>
          <w:p w:rsidR="00250CA8" w:rsidRPr="00C76316" w:rsidRDefault="00250CA8" w:rsidP="00093CA6">
            <w:pPr>
              <w:jc w:val="center"/>
              <w:rPr>
                <w:rFonts w:asciiTheme="minorEastAsia" w:hAnsiTheme="minorEastAsia"/>
                <w:szCs w:val="21"/>
                <w:lang w:bidi="ar"/>
              </w:rPr>
            </w:pPr>
          </w:p>
        </w:tc>
        <w:tc>
          <w:tcPr>
            <w:tcW w:w="9636" w:type="dxa"/>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校园内进行建筑、道路等施工时，未对重点区域做安全防护、安全警示，可能导致重大安全事故的隐患。</w:t>
            </w:r>
          </w:p>
        </w:tc>
        <w:tc>
          <w:tcPr>
            <w:tcW w:w="1337" w:type="dxa"/>
            <w:vMerge w:val="restart"/>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基建处</w:t>
            </w: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tcPr>
          <w:p w:rsidR="00250CA8" w:rsidRPr="00C76316" w:rsidRDefault="00250CA8" w:rsidP="00093CA6">
            <w:pPr>
              <w:rPr>
                <w:rFonts w:asciiTheme="minorEastAsia" w:hAnsiTheme="minorEastAsia"/>
                <w:szCs w:val="21"/>
                <w:lang w:bidi="ar"/>
              </w:rPr>
            </w:pPr>
          </w:p>
        </w:tc>
        <w:tc>
          <w:tcPr>
            <w:tcW w:w="9636" w:type="dxa"/>
            <w:vAlign w:val="center"/>
          </w:tcPr>
          <w:p w:rsidR="00250CA8" w:rsidRPr="00C76316" w:rsidRDefault="00250CA8" w:rsidP="00093CA6">
            <w:pPr>
              <w:rPr>
                <w:rFonts w:asciiTheme="minorEastAsia" w:hAnsiTheme="minorEastAsia"/>
                <w:szCs w:val="21"/>
                <w:lang w:bidi="ar"/>
              </w:rPr>
            </w:pPr>
            <w:r w:rsidRPr="00C76316">
              <w:rPr>
                <w:rFonts w:asciiTheme="minorEastAsia" w:hAnsiTheme="minorEastAsia" w:hint="eastAsia"/>
                <w:szCs w:val="21"/>
                <w:lang w:bidi="ar"/>
              </w:rPr>
              <w:t>使用非法生产、检验不合格或已过报废期限的特种设备等，可能导致重大安全事故的隐患。</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Merge/>
            <w:vAlign w:val="center"/>
          </w:tcPr>
          <w:p w:rsidR="00250CA8" w:rsidRPr="00C76316" w:rsidRDefault="00250CA8" w:rsidP="00093CA6">
            <w:pPr>
              <w:jc w:val="center"/>
              <w:rPr>
                <w:rFonts w:asciiTheme="minorEastAsia" w:hAnsiTheme="minorEastAsia"/>
                <w:szCs w:val="21"/>
                <w:lang w:bidi="ar"/>
              </w:rPr>
            </w:pPr>
          </w:p>
        </w:tc>
        <w:tc>
          <w:tcPr>
            <w:tcW w:w="1421" w:type="dxa"/>
            <w:vMerge/>
          </w:tcPr>
          <w:p w:rsidR="00250CA8" w:rsidRPr="00C76316" w:rsidRDefault="00250CA8" w:rsidP="00093CA6">
            <w:pPr>
              <w:rPr>
                <w:rFonts w:asciiTheme="minorEastAsia" w:hAnsiTheme="minorEastAsia"/>
                <w:szCs w:val="21"/>
                <w:lang w:bidi="ar"/>
              </w:rPr>
            </w:pPr>
          </w:p>
        </w:tc>
        <w:tc>
          <w:tcPr>
            <w:tcW w:w="9636" w:type="dxa"/>
            <w:vAlign w:val="center"/>
          </w:tcPr>
          <w:p w:rsidR="00250CA8" w:rsidRPr="00C76316" w:rsidRDefault="00250CA8" w:rsidP="00B16346">
            <w:pPr>
              <w:rPr>
                <w:rFonts w:asciiTheme="minorEastAsia" w:hAnsiTheme="minorEastAsia"/>
                <w:szCs w:val="21"/>
                <w:lang w:bidi="ar"/>
              </w:rPr>
            </w:pPr>
            <w:r w:rsidRPr="00C76316">
              <w:rPr>
                <w:rFonts w:asciiTheme="minorEastAsia" w:hAnsiTheme="minorEastAsia" w:hint="eastAsia"/>
                <w:szCs w:val="21"/>
                <w:lang w:bidi="ar"/>
              </w:rPr>
              <w:t>按照住房和城乡建设部印发的《房屋市政工程生产安全重大事故隐患判定标准（2022版）》开展重大事故隐患排查。</w:t>
            </w:r>
          </w:p>
        </w:tc>
        <w:tc>
          <w:tcPr>
            <w:tcW w:w="1337" w:type="dxa"/>
            <w:vMerge/>
            <w:vAlign w:val="center"/>
          </w:tcPr>
          <w:p w:rsidR="00250CA8" w:rsidRPr="00C76316" w:rsidRDefault="00250CA8" w:rsidP="00093CA6">
            <w:pPr>
              <w:rPr>
                <w:rFonts w:asciiTheme="minorEastAsia" w:hAnsiTheme="minorEastAsia"/>
                <w:szCs w:val="21"/>
                <w:lang w:bidi="ar"/>
              </w:rPr>
            </w:pPr>
          </w:p>
        </w:tc>
      </w:tr>
      <w:tr w:rsidR="00C76316" w:rsidRPr="00C76316" w:rsidTr="00CD635F">
        <w:trPr>
          <w:jc w:val="center"/>
        </w:trPr>
        <w:tc>
          <w:tcPr>
            <w:tcW w:w="1554" w:type="dxa"/>
            <w:vAlign w:val="center"/>
          </w:tcPr>
          <w:p w:rsidR="00663DEB" w:rsidRPr="00C76316" w:rsidRDefault="0011717D" w:rsidP="00092833">
            <w:pPr>
              <w:jc w:val="center"/>
              <w:rPr>
                <w:rFonts w:asciiTheme="minorEastAsia" w:hAnsiTheme="minorEastAsia"/>
                <w:szCs w:val="21"/>
                <w:lang w:bidi="ar"/>
              </w:rPr>
            </w:pPr>
            <w:r>
              <w:rPr>
                <w:rFonts w:asciiTheme="minorEastAsia" w:hAnsiTheme="minorEastAsia" w:hint="eastAsia"/>
                <w:b/>
                <w:szCs w:val="21"/>
                <w:lang w:bidi="ar"/>
              </w:rPr>
              <w:t>2</w:t>
            </w:r>
          </w:p>
        </w:tc>
        <w:tc>
          <w:tcPr>
            <w:tcW w:w="1421" w:type="dxa"/>
            <w:vAlign w:val="center"/>
          </w:tcPr>
          <w:p w:rsidR="00663DEB" w:rsidRPr="00C76316" w:rsidRDefault="00663DEB" w:rsidP="00092833">
            <w:pPr>
              <w:jc w:val="center"/>
              <w:rPr>
                <w:rFonts w:asciiTheme="minorEastAsia" w:hAnsiTheme="minorEastAsia" w:cs="Arial"/>
                <w:szCs w:val="21"/>
              </w:rPr>
            </w:pPr>
            <w:r w:rsidRPr="00C76316">
              <w:rPr>
                <w:rFonts w:asciiTheme="minorEastAsia" w:hAnsiTheme="minorEastAsia" w:cs="Arial"/>
                <w:szCs w:val="21"/>
              </w:rPr>
              <w:t>组织开展事故应急救援演练活动</w:t>
            </w:r>
          </w:p>
        </w:tc>
        <w:tc>
          <w:tcPr>
            <w:tcW w:w="9636" w:type="dxa"/>
            <w:vAlign w:val="center"/>
          </w:tcPr>
          <w:p w:rsidR="00663DEB" w:rsidRPr="00C76316" w:rsidRDefault="00663DEB" w:rsidP="00092833">
            <w:pPr>
              <w:rPr>
                <w:rFonts w:asciiTheme="minorEastAsia" w:hAnsiTheme="minorEastAsia"/>
                <w:szCs w:val="21"/>
                <w:lang w:bidi="ar"/>
              </w:rPr>
            </w:pPr>
            <w:r w:rsidRPr="00C76316">
              <w:rPr>
                <w:rFonts w:asciiTheme="minorEastAsia" w:hAnsiTheme="minorEastAsia" w:hint="eastAsia"/>
                <w:szCs w:val="21"/>
                <w:lang w:bidi="ar"/>
              </w:rPr>
              <w:t>组织开展事故应急救援演练活动。各地各校要结合实际，根据学生年龄和各学校易发事故特点，至少组织开展 1 次事故应急救援预案演练，特别要让全体教职员工主动落实安全岗位责任，熟知安全逃生出口(或避灾路线),切实提高教职员工应急避险意识和组织疏散应急避险能力。</w:t>
            </w:r>
          </w:p>
        </w:tc>
        <w:tc>
          <w:tcPr>
            <w:tcW w:w="1337" w:type="dxa"/>
            <w:vAlign w:val="center"/>
          </w:tcPr>
          <w:p w:rsidR="00663DEB" w:rsidRPr="00C76316" w:rsidRDefault="00663DEB" w:rsidP="00092833">
            <w:pPr>
              <w:rPr>
                <w:rFonts w:asciiTheme="minorEastAsia" w:hAnsiTheme="minorEastAsia"/>
                <w:szCs w:val="21"/>
                <w:lang w:bidi="ar"/>
              </w:rPr>
            </w:pPr>
            <w:r w:rsidRPr="00C76316">
              <w:rPr>
                <w:rFonts w:asciiTheme="minorEastAsia" w:hAnsiTheme="minorEastAsia" w:hint="eastAsia"/>
                <w:szCs w:val="21"/>
                <w:lang w:bidi="ar"/>
              </w:rPr>
              <w:t>保卫处</w:t>
            </w:r>
          </w:p>
        </w:tc>
      </w:tr>
      <w:tr w:rsidR="00C76316" w:rsidRPr="00C76316" w:rsidTr="00CD635F">
        <w:trPr>
          <w:jc w:val="center"/>
        </w:trPr>
        <w:tc>
          <w:tcPr>
            <w:tcW w:w="1554" w:type="dxa"/>
            <w:vAlign w:val="center"/>
          </w:tcPr>
          <w:p w:rsidR="00663DEB" w:rsidRPr="00C76316" w:rsidRDefault="0011717D" w:rsidP="00092833">
            <w:pPr>
              <w:jc w:val="center"/>
              <w:rPr>
                <w:rFonts w:asciiTheme="minorEastAsia" w:hAnsiTheme="minorEastAsia"/>
                <w:szCs w:val="21"/>
                <w:lang w:bidi="ar"/>
              </w:rPr>
            </w:pPr>
            <w:r>
              <w:rPr>
                <w:rFonts w:asciiTheme="minorEastAsia" w:hAnsiTheme="minorEastAsia" w:hint="eastAsia"/>
                <w:b/>
                <w:szCs w:val="21"/>
                <w:lang w:bidi="ar"/>
              </w:rPr>
              <w:t>3</w:t>
            </w:r>
          </w:p>
        </w:tc>
        <w:tc>
          <w:tcPr>
            <w:tcW w:w="1421" w:type="dxa"/>
            <w:vAlign w:val="center"/>
          </w:tcPr>
          <w:p w:rsidR="00663DEB" w:rsidRPr="00C76316" w:rsidRDefault="00663DEB" w:rsidP="00092833">
            <w:pPr>
              <w:jc w:val="center"/>
              <w:rPr>
                <w:rFonts w:asciiTheme="minorEastAsia" w:hAnsiTheme="minorEastAsia" w:cs="Arial"/>
                <w:szCs w:val="21"/>
              </w:rPr>
            </w:pPr>
            <w:r w:rsidRPr="00C76316">
              <w:rPr>
                <w:rFonts w:asciiTheme="minorEastAsia" w:hAnsiTheme="minorEastAsia" w:cs="Arial"/>
                <w:szCs w:val="21"/>
              </w:rPr>
              <w:t>健全落实学校全员安全责任</w:t>
            </w:r>
          </w:p>
        </w:tc>
        <w:tc>
          <w:tcPr>
            <w:tcW w:w="9636" w:type="dxa"/>
            <w:vAlign w:val="center"/>
          </w:tcPr>
          <w:p w:rsidR="00663DEB" w:rsidRPr="00C76316" w:rsidRDefault="00663DEB" w:rsidP="00092833">
            <w:pPr>
              <w:rPr>
                <w:rFonts w:asciiTheme="minorEastAsia" w:hAnsiTheme="minorEastAsia"/>
                <w:szCs w:val="21"/>
                <w:lang w:bidi="ar"/>
              </w:rPr>
            </w:pPr>
            <w:r w:rsidRPr="00C76316">
              <w:rPr>
                <w:rFonts w:asciiTheme="minorEastAsia" w:hAnsiTheme="minorEastAsia" w:hint="eastAsia"/>
                <w:szCs w:val="21"/>
                <w:lang w:bidi="ar"/>
              </w:rPr>
              <w:t>严格落实教育部《中小学校岗位安全工作指南》，结合实际明确本校各个岗位的安全职责，健全安全管理制度，落实各项制度措施，切实将安全教育和管理融入到日常工作的各个环节，确保广大师生安全，确保校园和谐稳定。要突出集体安全责任落实，组织制定学校各分管负责人安全职责清单和本次专项行动工作清单，做到管业务必须管安全，齐抓共管推进排查整治;按规定设置安全管理机构并配备专兼职安全管理人员;根据需要聘请行业领域专家强化技术指导，精准查找重大事故隐患、科学治理重大事故隐患，提高隐患排查和整改的质量。</w:t>
            </w:r>
          </w:p>
        </w:tc>
        <w:tc>
          <w:tcPr>
            <w:tcW w:w="1337" w:type="dxa"/>
            <w:vAlign w:val="center"/>
          </w:tcPr>
          <w:p w:rsidR="00663DEB" w:rsidRPr="00C76316" w:rsidRDefault="00663DEB" w:rsidP="00092833">
            <w:pPr>
              <w:rPr>
                <w:rFonts w:asciiTheme="minorEastAsia" w:hAnsiTheme="minorEastAsia"/>
                <w:szCs w:val="21"/>
                <w:lang w:bidi="ar"/>
              </w:rPr>
            </w:pPr>
            <w:r w:rsidRPr="00C76316">
              <w:rPr>
                <w:rFonts w:asciiTheme="minorEastAsia" w:hAnsiTheme="minorEastAsia" w:hint="eastAsia"/>
                <w:szCs w:val="21"/>
                <w:lang w:bidi="ar"/>
              </w:rPr>
              <w:t>基础教育管理中心</w:t>
            </w:r>
          </w:p>
        </w:tc>
      </w:tr>
      <w:tr w:rsidR="00663DEB" w:rsidRPr="00C76316" w:rsidTr="00CD635F">
        <w:trPr>
          <w:jc w:val="center"/>
        </w:trPr>
        <w:tc>
          <w:tcPr>
            <w:tcW w:w="1554" w:type="dxa"/>
            <w:vAlign w:val="center"/>
          </w:tcPr>
          <w:p w:rsidR="00663DEB" w:rsidRPr="00C76316" w:rsidRDefault="0011717D" w:rsidP="00092833">
            <w:pPr>
              <w:jc w:val="center"/>
              <w:rPr>
                <w:rFonts w:asciiTheme="minorEastAsia" w:hAnsiTheme="minorEastAsia"/>
                <w:szCs w:val="21"/>
                <w:lang w:bidi="ar"/>
              </w:rPr>
            </w:pPr>
            <w:r>
              <w:rPr>
                <w:rFonts w:asciiTheme="minorEastAsia" w:hAnsiTheme="minorEastAsia" w:hint="eastAsia"/>
                <w:b/>
                <w:szCs w:val="21"/>
                <w:lang w:bidi="ar"/>
              </w:rPr>
              <w:t>4</w:t>
            </w:r>
          </w:p>
        </w:tc>
        <w:tc>
          <w:tcPr>
            <w:tcW w:w="1421" w:type="dxa"/>
            <w:vAlign w:val="center"/>
          </w:tcPr>
          <w:p w:rsidR="00663DEB" w:rsidRPr="00C76316" w:rsidRDefault="00663DEB" w:rsidP="00092833">
            <w:pPr>
              <w:jc w:val="center"/>
              <w:rPr>
                <w:rFonts w:asciiTheme="minorEastAsia" w:hAnsiTheme="minorEastAsia" w:cs="Arial"/>
                <w:szCs w:val="21"/>
              </w:rPr>
            </w:pPr>
            <w:r w:rsidRPr="00C76316">
              <w:rPr>
                <w:rFonts w:asciiTheme="minorEastAsia" w:hAnsiTheme="minorEastAsia" w:cs="Arial"/>
                <w:szCs w:val="21"/>
              </w:rPr>
              <w:t>组织对外包外租等生产经营活动开展排查整治</w:t>
            </w:r>
          </w:p>
        </w:tc>
        <w:tc>
          <w:tcPr>
            <w:tcW w:w="9636" w:type="dxa"/>
            <w:vAlign w:val="center"/>
          </w:tcPr>
          <w:p w:rsidR="00663DEB" w:rsidRPr="00C76316" w:rsidRDefault="00663DEB" w:rsidP="00092833">
            <w:pPr>
              <w:rPr>
                <w:rFonts w:asciiTheme="minorEastAsia" w:hAnsiTheme="minorEastAsia"/>
                <w:szCs w:val="21"/>
                <w:lang w:bidi="ar"/>
              </w:rPr>
            </w:pPr>
            <w:r w:rsidRPr="00C76316">
              <w:rPr>
                <w:rFonts w:asciiTheme="minorEastAsia" w:hAnsiTheme="minorEastAsia" w:hint="eastAsia"/>
                <w:szCs w:val="21"/>
                <w:lang w:bidi="ar"/>
              </w:rPr>
              <w:t>针对学校生产活动（或后勤保障等）和场地外包外租(包括委托、合作等类似方式)情况组织开展 1 次全面排查，重点检查是否存在承包承租方不具备安全生产条件或者相应资质以及双方未签订安全生产协议、安全生产管理职责不清等问题，不符合法律法规规定的要坚决依法处理;将外包外租等生产经营活动纳入学校安全管理体系，加强统一协调、管理，定期进行安全检查，发现安全问题及时督促整改。</w:t>
            </w:r>
          </w:p>
        </w:tc>
        <w:tc>
          <w:tcPr>
            <w:tcW w:w="1337" w:type="dxa"/>
            <w:vAlign w:val="center"/>
          </w:tcPr>
          <w:p w:rsidR="00663DEB" w:rsidRPr="00C76316" w:rsidRDefault="00663DEB" w:rsidP="00092833">
            <w:pPr>
              <w:rPr>
                <w:rFonts w:asciiTheme="minorEastAsia" w:hAnsiTheme="minorEastAsia"/>
                <w:szCs w:val="21"/>
                <w:lang w:bidi="ar"/>
              </w:rPr>
            </w:pPr>
            <w:r w:rsidRPr="00C76316">
              <w:rPr>
                <w:rFonts w:asciiTheme="minorEastAsia" w:hAnsiTheme="minorEastAsia" w:hint="eastAsia"/>
                <w:szCs w:val="21"/>
                <w:lang w:bidi="ar"/>
              </w:rPr>
              <w:t>资产经营有限公司</w:t>
            </w:r>
          </w:p>
          <w:p w:rsidR="00663DEB" w:rsidRPr="00C76316" w:rsidRDefault="00663DEB" w:rsidP="00092833">
            <w:pPr>
              <w:rPr>
                <w:rFonts w:asciiTheme="minorEastAsia" w:hAnsiTheme="minorEastAsia"/>
                <w:szCs w:val="21"/>
                <w:lang w:bidi="ar"/>
              </w:rPr>
            </w:pPr>
            <w:r w:rsidRPr="00C76316">
              <w:rPr>
                <w:rFonts w:asciiTheme="minorEastAsia" w:hAnsiTheme="minorEastAsia" w:hint="eastAsia"/>
                <w:szCs w:val="21"/>
                <w:lang w:bidi="ar"/>
              </w:rPr>
              <w:t>后勤保障部</w:t>
            </w:r>
          </w:p>
        </w:tc>
      </w:tr>
    </w:tbl>
    <w:p w:rsidR="006E5E61" w:rsidRPr="00C76316" w:rsidRDefault="006E5E61">
      <w:pPr>
        <w:rPr>
          <w:rFonts w:ascii="仿宋" w:eastAsia="仿宋" w:hAnsi="仿宋" w:cs="仿宋"/>
          <w:sz w:val="32"/>
          <w:szCs w:val="32"/>
        </w:rPr>
      </w:pPr>
    </w:p>
    <w:sectPr w:rsidR="006E5E61" w:rsidRPr="00C76316" w:rsidSect="006E5E6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21" w:rsidRDefault="003F6121" w:rsidP="00D0077B">
      <w:r>
        <w:separator/>
      </w:r>
    </w:p>
  </w:endnote>
  <w:endnote w:type="continuationSeparator" w:id="0">
    <w:p w:rsidR="003F6121" w:rsidRDefault="003F6121" w:rsidP="00D0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21" w:rsidRDefault="003F6121" w:rsidP="00D0077B">
      <w:r>
        <w:separator/>
      </w:r>
    </w:p>
  </w:footnote>
  <w:footnote w:type="continuationSeparator" w:id="0">
    <w:p w:rsidR="003F6121" w:rsidRDefault="003F6121" w:rsidP="00D00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43"/>
    <w:rsid w:val="00006BA0"/>
    <w:rsid w:val="00023977"/>
    <w:rsid w:val="000321FF"/>
    <w:rsid w:val="00032858"/>
    <w:rsid w:val="000409B6"/>
    <w:rsid w:val="00090950"/>
    <w:rsid w:val="00093CA6"/>
    <w:rsid w:val="000B3F92"/>
    <w:rsid w:val="000B4A52"/>
    <w:rsid w:val="000B4E73"/>
    <w:rsid w:val="000D291E"/>
    <w:rsid w:val="000D6D18"/>
    <w:rsid w:val="000F02A4"/>
    <w:rsid w:val="000F7983"/>
    <w:rsid w:val="0011717D"/>
    <w:rsid w:val="001236A0"/>
    <w:rsid w:val="0015174D"/>
    <w:rsid w:val="00190E19"/>
    <w:rsid w:val="0019192E"/>
    <w:rsid w:val="001A55AD"/>
    <w:rsid w:val="001B7823"/>
    <w:rsid w:val="001D2425"/>
    <w:rsid w:val="00232BF2"/>
    <w:rsid w:val="0023355B"/>
    <w:rsid w:val="00237D19"/>
    <w:rsid w:val="00250CA8"/>
    <w:rsid w:val="00255DBC"/>
    <w:rsid w:val="002D3664"/>
    <w:rsid w:val="00380A42"/>
    <w:rsid w:val="00383953"/>
    <w:rsid w:val="003857D2"/>
    <w:rsid w:val="0038778C"/>
    <w:rsid w:val="003A0F09"/>
    <w:rsid w:val="003D6A11"/>
    <w:rsid w:val="003F6121"/>
    <w:rsid w:val="0042032E"/>
    <w:rsid w:val="004229A7"/>
    <w:rsid w:val="004861E6"/>
    <w:rsid w:val="00493F3C"/>
    <w:rsid w:val="00497E67"/>
    <w:rsid w:val="004A7075"/>
    <w:rsid w:val="00504648"/>
    <w:rsid w:val="00526F6D"/>
    <w:rsid w:val="005A01CA"/>
    <w:rsid w:val="005F1640"/>
    <w:rsid w:val="005F40FC"/>
    <w:rsid w:val="00663DEB"/>
    <w:rsid w:val="00686B5E"/>
    <w:rsid w:val="006B07B3"/>
    <w:rsid w:val="006C5B7A"/>
    <w:rsid w:val="006E5E61"/>
    <w:rsid w:val="006F39B7"/>
    <w:rsid w:val="006F6EC1"/>
    <w:rsid w:val="007616B9"/>
    <w:rsid w:val="007640C6"/>
    <w:rsid w:val="007B48EC"/>
    <w:rsid w:val="007C09CB"/>
    <w:rsid w:val="007C3407"/>
    <w:rsid w:val="0082300A"/>
    <w:rsid w:val="00823573"/>
    <w:rsid w:val="00826D25"/>
    <w:rsid w:val="00881EB6"/>
    <w:rsid w:val="00895787"/>
    <w:rsid w:val="00895F44"/>
    <w:rsid w:val="008A62FA"/>
    <w:rsid w:val="008B71DE"/>
    <w:rsid w:val="008F733E"/>
    <w:rsid w:val="009568A7"/>
    <w:rsid w:val="0098003A"/>
    <w:rsid w:val="009A11EA"/>
    <w:rsid w:val="009C12C5"/>
    <w:rsid w:val="00A160F6"/>
    <w:rsid w:val="00A479B9"/>
    <w:rsid w:val="00A71FB7"/>
    <w:rsid w:val="00A86AE7"/>
    <w:rsid w:val="00AA2CBC"/>
    <w:rsid w:val="00AB278B"/>
    <w:rsid w:val="00AB6FFC"/>
    <w:rsid w:val="00AC67C3"/>
    <w:rsid w:val="00AE1A94"/>
    <w:rsid w:val="00B0330A"/>
    <w:rsid w:val="00B16346"/>
    <w:rsid w:val="00B53076"/>
    <w:rsid w:val="00B66266"/>
    <w:rsid w:val="00BE079D"/>
    <w:rsid w:val="00C13D40"/>
    <w:rsid w:val="00C160E9"/>
    <w:rsid w:val="00C227B4"/>
    <w:rsid w:val="00C23937"/>
    <w:rsid w:val="00C54D4E"/>
    <w:rsid w:val="00C76316"/>
    <w:rsid w:val="00C910B3"/>
    <w:rsid w:val="00CA123B"/>
    <w:rsid w:val="00CA6EFD"/>
    <w:rsid w:val="00CB6D01"/>
    <w:rsid w:val="00CD37C9"/>
    <w:rsid w:val="00CD635F"/>
    <w:rsid w:val="00CF6F9C"/>
    <w:rsid w:val="00D0077B"/>
    <w:rsid w:val="00D25A6D"/>
    <w:rsid w:val="00D316B3"/>
    <w:rsid w:val="00D34B8D"/>
    <w:rsid w:val="00D423F5"/>
    <w:rsid w:val="00D42756"/>
    <w:rsid w:val="00DB2008"/>
    <w:rsid w:val="00DD5F3D"/>
    <w:rsid w:val="00DE56ED"/>
    <w:rsid w:val="00DF0B41"/>
    <w:rsid w:val="00E33151"/>
    <w:rsid w:val="00E40918"/>
    <w:rsid w:val="00E473BC"/>
    <w:rsid w:val="00E56487"/>
    <w:rsid w:val="00E76043"/>
    <w:rsid w:val="00ED1B3D"/>
    <w:rsid w:val="00EF08B2"/>
    <w:rsid w:val="00F12CE0"/>
    <w:rsid w:val="00F50F64"/>
    <w:rsid w:val="00F51364"/>
    <w:rsid w:val="00F579D4"/>
    <w:rsid w:val="00F71F37"/>
    <w:rsid w:val="00F76C4A"/>
    <w:rsid w:val="00FF31D9"/>
    <w:rsid w:val="03820349"/>
    <w:rsid w:val="0A6E46D9"/>
    <w:rsid w:val="14455415"/>
    <w:rsid w:val="15E31FF8"/>
    <w:rsid w:val="1FE526A4"/>
    <w:rsid w:val="21FF6291"/>
    <w:rsid w:val="25FB0271"/>
    <w:rsid w:val="27532C0C"/>
    <w:rsid w:val="275525F0"/>
    <w:rsid w:val="29F46D36"/>
    <w:rsid w:val="2AB44D9A"/>
    <w:rsid w:val="350C08B5"/>
    <w:rsid w:val="38206E13"/>
    <w:rsid w:val="3AC75D5F"/>
    <w:rsid w:val="3E013A18"/>
    <w:rsid w:val="40883E81"/>
    <w:rsid w:val="416D05D9"/>
    <w:rsid w:val="46D809FF"/>
    <w:rsid w:val="54590416"/>
    <w:rsid w:val="57990C05"/>
    <w:rsid w:val="58C607C5"/>
    <w:rsid w:val="5AF05724"/>
    <w:rsid w:val="606926CD"/>
    <w:rsid w:val="64294DF7"/>
    <w:rsid w:val="6A7164E1"/>
    <w:rsid w:val="6ACF3E7C"/>
    <w:rsid w:val="6C995CD4"/>
    <w:rsid w:val="6D994417"/>
    <w:rsid w:val="6F082167"/>
    <w:rsid w:val="74D268FC"/>
    <w:rsid w:val="78505955"/>
    <w:rsid w:val="789E739C"/>
    <w:rsid w:val="7AAD1635"/>
    <w:rsid w:val="7B0609D0"/>
    <w:rsid w:val="7D13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434C96"/>
  <w15:docId w15:val="{6A3296BD-8BA7-4DEC-9EBF-46558455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Bodytext1">
    <w:name w:val="Body text|1"/>
    <w:basedOn w:val="a"/>
    <w:qFormat/>
    <w:pPr>
      <w:spacing w:line="406" w:lineRule="auto"/>
      <w:ind w:firstLine="400"/>
    </w:pPr>
    <w:rPr>
      <w:rFonts w:ascii="宋体" w:eastAsia="宋体" w:hAnsi="宋体" w:cs="宋体"/>
      <w:sz w:val="30"/>
      <w:szCs w:val="30"/>
      <w:lang w:val="zh-TW" w:eastAsia="zh-TW" w:bidi="zh-TW"/>
    </w:rPr>
  </w:style>
  <w:style w:type="paragraph" w:styleId="a5">
    <w:name w:val="List Paragraph"/>
    <w:basedOn w:val="a"/>
    <w:uiPriority w:val="99"/>
    <w:unhideWhenUsed/>
    <w:qFormat/>
    <w:pPr>
      <w:ind w:firstLineChars="200" w:firstLine="420"/>
    </w:pPr>
  </w:style>
  <w:style w:type="character" w:customStyle="1" w:styleId="20">
    <w:name w:val="标题 2 字符"/>
    <w:basedOn w:val="a0"/>
    <w:link w:val="2"/>
    <w:uiPriority w:val="9"/>
    <w:qFormat/>
    <w:rPr>
      <w:rFonts w:ascii="宋体" w:hAnsi="宋体" w:cs="宋体"/>
      <w:b/>
      <w:bCs/>
      <w:sz w:val="36"/>
      <w:szCs w:val="36"/>
    </w:rPr>
  </w:style>
  <w:style w:type="table" w:styleId="a6">
    <w:name w:val="Table Grid"/>
    <w:basedOn w:val="a1"/>
    <w:rsid w:val="0066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0B4A52"/>
    <w:rPr>
      <w:color w:val="0563C1" w:themeColor="hyperlink"/>
      <w:u w:val="single"/>
    </w:rPr>
  </w:style>
  <w:style w:type="paragraph" w:styleId="a8">
    <w:name w:val="header"/>
    <w:basedOn w:val="a"/>
    <w:link w:val="a9"/>
    <w:rsid w:val="0011717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1717D"/>
    <w:rPr>
      <w:rFonts w:asciiTheme="minorHAnsi" w:eastAsiaTheme="minorEastAsia" w:hAnsiTheme="minorHAnsi" w:cstheme="minorBidi"/>
      <w:kern w:val="2"/>
      <w:sz w:val="18"/>
      <w:szCs w:val="18"/>
    </w:rPr>
  </w:style>
  <w:style w:type="paragraph" w:styleId="aa">
    <w:name w:val="footer"/>
    <w:basedOn w:val="a"/>
    <w:link w:val="ab"/>
    <w:rsid w:val="0011717D"/>
    <w:pPr>
      <w:tabs>
        <w:tab w:val="center" w:pos="4153"/>
        <w:tab w:val="right" w:pos="8306"/>
      </w:tabs>
      <w:snapToGrid w:val="0"/>
      <w:jc w:val="left"/>
    </w:pPr>
    <w:rPr>
      <w:sz w:val="18"/>
      <w:szCs w:val="18"/>
    </w:rPr>
  </w:style>
  <w:style w:type="character" w:customStyle="1" w:styleId="ab">
    <w:name w:val="页脚 字符"/>
    <w:basedOn w:val="a0"/>
    <w:link w:val="aa"/>
    <w:rsid w:val="0011717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6567">
      <w:bodyDiv w:val="1"/>
      <w:marLeft w:val="0"/>
      <w:marRight w:val="0"/>
      <w:marTop w:val="0"/>
      <w:marBottom w:val="0"/>
      <w:divBdr>
        <w:top w:val="none" w:sz="0" w:space="0" w:color="auto"/>
        <w:left w:val="none" w:sz="0" w:space="0" w:color="auto"/>
        <w:bottom w:val="none" w:sz="0" w:space="0" w:color="auto"/>
        <w:right w:val="none" w:sz="0" w:space="0" w:color="auto"/>
      </w:divBdr>
    </w:div>
    <w:div w:id="97664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姚松茂</cp:lastModifiedBy>
  <cp:revision>3</cp:revision>
  <dcterms:created xsi:type="dcterms:W3CDTF">2023-05-18T08:41:00Z</dcterms:created>
  <dcterms:modified xsi:type="dcterms:W3CDTF">2023-05-25T00:38:00Z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